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803F0E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venir" w:eastAsia="Avenir" w:hAnsi="Avenir" w:cs="Avenir"/>
          <w:color w:val="000000"/>
          <w:sz w:val="20"/>
          <w:szCs w:val="20"/>
        </w:rPr>
      </w:pPr>
    </w:p>
    <w:p w14:paraId="29FFC3B8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venir" w:eastAsia="Avenir" w:hAnsi="Avenir" w:cs="Avenir"/>
          <w:sz w:val="20"/>
          <w:szCs w:val="20"/>
        </w:rPr>
      </w:pPr>
      <w:r>
        <w:rPr>
          <w:rFonts w:ascii="Avenir" w:eastAsia="Avenir" w:hAnsi="Avenir" w:cs="Avenir"/>
          <w:color w:val="000000"/>
          <w:sz w:val="20"/>
          <w:szCs w:val="20"/>
        </w:rPr>
        <w:t xml:space="preserve">Společnost </w:t>
      </w:r>
      <w:r>
        <w:rPr>
          <w:rFonts w:ascii="Avenir" w:eastAsia="Avenir" w:hAnsi="Avenir" w:cs="Avenir"/>
          <w:b/>
          <w:sz w:val="20"/>
          <w:szCs w:val="20"/>
        </w:rPr>
        <w:t xml:space="preserve">INTERPACK s.r.o. </w:t>
      </w:r>
      <w:r>
        <w:rPr>
          <w:rFonts w:ascii="Avenir" w:eastAsia="Avenir" w:hAnsi="Avenir" w:cs="Avenir"/>
          <w:sz w:val="20"/>
          <w:szCs w:val="20"/>
        </w:rPr>
        <w:t xml:space="preserve">(dále jen </w:t>
      </w:r>
      <w:r>
        <w:rPr>
          <w:rFonts w:ascii="Avenir" w:eastAsia="Avenir" w:hAnsi="Avenir" w:cs="Avenir"/>
          <w:b/>
          <w:sz w:val="20"/>
          <w:szCs w:val="20"/>
        </w:rPr>
        <w:t xml:space="preserve">Společnost) </w:t>
      </w:r>
      <w:r>
        <w:rPr>
          <w:rFonts w:ascii="Avenir" w:eastAsia="Avenir" w:hAnsi="Avenir" w:cs="Avenir"/>
          <w:sz w:val="20"/>
          <w:szCs w:val="20"/>
        </w:rPr>
        <w:t>se zabývá návrhy, vývojem a vyhledáváním vhodných obalových řešení s orientací na konkrétní potřeby cílového zákazníka, a to i s ohledem na environmentální dopady výsledných produktů. V současné době je jejím hlavním cílem napomáhat klientům při výběru optimálního řešení, a to nejen s ohledem na funkčnost, podporu prezentace produktu, ale i na jeho využitelnost s minimálními dopady na životní prostředí.</w:t>
      </w:r>
    </w:p>
    <w:p w14:paraId="54043632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venir" w:eastAsia="Avenir" w:hAnsi="Avenir" w:cs="Avenir"/>
          <w:sz w:val="20"/>
          <w:szCs w:val="20"/>
        </w:rPr>
      </w:pPr>
      <w:r>
        <w:rPr>
          <w:rFonts w:ascii="Avenir" w:eastAsia="Avenir" w:hAnsi="Avenir" w:cs="Avenir"/>
          <w:b/>
          <w:sz w:val="20"/>
          <w:szCs w:val="20"/>
        </w:rPr>
        <w:t>Společnost</w:t>
      </w:r>
      <w:r>
        <w:rPr>
          <w:rFonts w:ascii="Avenir" w:eastAsia="Avenir" w:hAnsi="Avenir" w:cs="Avenir"/>
          <w:sz w:val="20"/>
          <w:szCs w:val="20"/>
        </w:rPr>
        <w:t xml:space="preserve"> si je vědoma, že stabilní vysokou kvalitu, úroveň a bezpečnost jejich produktů a služeb, může dosáhnout pouze s takovou politikou, která se týká jak veškerých aktivit </w:t>
      </w:r>
      <w:r>
        <w:rPr>
          <w:rFonts w:ascii="Avenir" w:eastAsia="Avenir" w:hAnsi="Avenir" w:cs="Avenir"/>
          <w:b/>
          <w:sz w:val="20"/>
          <w:szCs w:val="20"/>
        </w:rPr>
        <w:t>Společnosti</w:t>
      </w:r>
      <w:r>
        <w:rPr>
          <w:rFonts w:ascii="Avenir" w:eastAsia="Avenir" w:hAnsi="Avenir" w:cs="Avenir"/>
          <w:sz w:val="20"/>
          <w:szCs w:val="20"/>
        </w:rPr>
        <w:t xml:space="preserve">, tak i zapojení všech jejích zaměstnanců. </w:t>
      </w:r>
      <w:r>
        <w:rPr>
          <w:rFonts w:ascii="Avenir" w:eastAsia="Avenir" w:hAnsi="Avenir" w:cs="Avenir"/>
          <w:sz w:val="20"/>
          <w:szCs w:val="20"/>
        </w:rPr>
        <w:tab/>
      </w:r>
    </w:p>
    <w:p w14:paraId="409FF986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venir" w:eastAsia="Avenir" w:hAnsi="Avenir" w:cs="Avenir"/>
          <w:sz w:val="20"/>
          <w:szCs w:val="20"/>
        </w:rPr>
      </w:pPr>
      <w:r>
        <w:rPr>
          <w:rFonts w:ascii="Avenir" w:eastAsia="Avenir" w:hAnsi="Avenir" w:cs="Avenir"/>
          <w:sz w:val="20"/>
          <w:szCs w:val="20"/>
        </w:rPr>
        <w:t xml:space="preserve">Rozsah systému </w:t>
      </w:r>
      <w:r>
        <w:rPr>
          <w:rFonts w:ascii="Avenir" w:eastAsia="Avenir" w:hAnsi="Avenir" w:cs="Avenir"/>
          <w:b/>
          <w:sz w:val="20"/>
          <w:szCs w:val="20"/>
        </w:rPr>
        <w:t>Společnosti</w:t>
      </w:r>
      <w:r>
        <w:rPr>
          <w:rFonts w:ascii="Avenir" w:eastAsia="Avenir" w:hAnsi="Avenir" w:cs="Avenir"/>
          <w:sz w:val="20"/>
          <w:szCs w:val="20"/>
        </w:rPr>
        <w:t xml:space="preserve"> v sobě zahrnuje celou její organizační strukturu, všechny její interní i externí aspekty a zainteresované strany. Z pohledu spolupracujících partnerů i odběratelů je působnost </w:t>
      </w:r>
      <w:r>
        <w:rPr>
          <w:rFonts w:ascii="Avenir" w:eastAsia="Avenir" w:hAnsi="Avenir" w:cs="Avenir"/>
          <w:b/>
          <w:sz w:val="20"/>
          <w:szCs w:val="20"/>
        </w:rPr>
        <w:t xml:space="preserve">Společnosti </w:t>
      </w:r>
      <w:r>
        <w:rPr>
          <w:rFonts w:ascii="Avenir" w:eastAsia="Avenir" w:hAnsi="Avenir" w:cs="Avenir"/>
          <w:sz w:val="20"/>
          <w:szCs w:val="20"/>
        </w:rPr>
        <w:t>mezinárodní. Mezi naše důležité zákazníky patří v současnosti společnosti z různých odvětví, zejména pak z farmaceutického, chemického, automobilového průmyslu a strojírenství.</w:t>
      </w:r>
    </w:p>
    <w:p w14:paraId="54346FF5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venir" w:eastAsia="Avenir" w:hAnsi="Avenir" w:cs="Avenir"/>
          <w:color w:val="CC0000"/>
          <w:sz w:val="20"/>
          <w:szCs w:val="20"/>
        </w:rPr>
      </w:pPr>
    </w:p>
    <w:p w14:paraId="7AB7E184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648" w:hanging="2"/>
        <w:rPr>
          <w:rFonts w:ascii="Avenir" w:eastAsia="Avenir" w:hAnsi="Avenir" w:cs="Avenir"/>
          <w:color w:val="000000"/>
          <w:sz w:val="20"/>
          <w:szCs w:val="20"/>
        </w:rPr>
      </w:pPr>
      <w:r>
        <w:rPr>
          <w:rFonts w:ascii="Avenir" w:eastAsia="Avenir" w:hAnsi="Avenir" w:cs="Avenir"/>
          <w:b/>
          <w:color w:val="000000"/>
          <w:sz w:val="20"/>
          <w:szCs w:val="20"/>
        </w:rPr>
        <w:t>1. Kvalita</w:t>
      </w:r>
    </w:p>
    <w:p w14:paraId="7B538B25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venir" w:eastAsia="Avenir" w:hAnsi="Avenir" w:cs="Avenir"/>
          <w:color w:val="000000"/>
          <w:sz w:val="20"/>
          <w:szCs w:val="20"/>
        </w:rPr>
      </w:pPr>
      <w:r>
        <w:rPr>
          <w:rFonts w:ascii="Avenir" w:eastAsia="Avenir" w:hAnsi="Avenir" w:cs="Avenir"/>
          <w:color w:val="000000"/>
          <w:sz w:val="20"/>
          <w:szCs w:val="20"/>
        </w:rPr>
        <w:t xml:space="preserve">Kvalita je ve </w:t>
      </w:r>
      <w:r>
        <w:rPr>
          <w:rFonts w:ascii="Avenir" w:eastAsia="Avenir" w:hAnsi="Avenir" w:cs="Avenir"/>
          <w:b/>
          <w:color w:val="000000"/>
          <w:sz w:val="20"/>
          <w:szCs w:val="20"/>
        </w:rPr>
        <w:t>Společnosti</w:t>
      </w:r>
      <w:r>
        <w:rPr>
          <w:rFonts w:ascii="Avenir" w:eastAsia="Avenir" w:hAnsi="Avenir" w:cs="Avenir"/>
          <w:color w:val="000000"/>
          <w:sz w:val="20"/>
          <w:szCs w:val="20"/>
        </w:rPr>
        <w:t xml:space="preserve"> na prvním místě. Garantuje ji kvalifikace a iniciativní přístup všech jejích pracovníků. Krédem je, že kvalita všech procesů ve </w:t>
      </w:r>
      <w:r>
        <w:rPr>
          <w:rFonts w:ascii="Avenir" w:eastAsia="Avenir" w:hAnsi="Avenir" w:cs="Avenir"/>
          <w:b/>
          <w:color w:val="000000"/>
          <w:sz w:val="20"/>
          <w:szCs w:val="20"/>
        </w:rPr>
        <w:t xml:space="preserve">Společnosti </w:t>
      </w:r>
      <w:r>
        <w:rPr>
          <w:rFonts w:ascii="Avenir" w:eastAsia="Avenir" w:hAnsi="Avenir" w:cs="Avenir"/>
          <w:color w:val="000000"/>
          <w:sz w:val="20"/>
          <w:szCs w:val="20"/>
        </w:rPr>
        <w:t>rozhoduje o její budoucnosti.</w:t>
      </w:r>
    </w:p>
    <w:p w14:paraId="4F0E16EE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648" w:hanging="2"/>
        <w:jc w:val="both"/>
        <w:rPr>
          <w:rFonts w:ascii="Avenir" w:eastAsia="Avenir" w:hAnsi="Avenir" w:cs="Avenir"/>
          <w:b/>
          <w:color w:val="000000"/>
          <w:sz w:val="20"/>
          <w:szCs w:val="20"/>
        </w:rPr>
      </w:pPr>
    </w:p>
    <w:p w14:paraId="6A92987A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648" w:hanging="2"/>
        <w:jc w:val="both"/>
        <w:rPr>
          <w:rFonts w:ascii="Avenir" w:eastAsia="Avenir" w:hAnsi="Avenir" w:cs="Avenir"/>
          <w:color w:val="000000"/>
          <w:sz w:val="20"/>
          <w:szCs w:val="20"/>
        </w:rPr>
      </w:pPr>
      <w:r>
        <w:rPr>
          <w:rFonts w:ascii="Avenir" w:eastAsia="Avenir" w:hAnsi="Avenir" w:cs="Avenir"/>
          <w:b/>
          <w:color w:val="000000"/>
          <w:sz w:val="20"/>
          <w:szCs w:val="20"/>
        </w:rPr>
        <w:t>2. Respektování zákazníka</w:t>
      </w:r>
    </w:p>
    <w:p w14:paraId="14F06F5E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venir" w:eastAsia="Avenir" w:hAnsi="Avenir" w:cs="Avenir"/>
          <w:color w:val="000000"/>
          <w:sz w:val="20"/>
          <w:szCs w:val="20"/>
        </w:rPr>
      </w:pPr>
      <w:r>
        <w:rPr>
          <w:rFonts w:ascii="Avenir" w:eastAsia="Avenir" w:hAnsi="Avenir" w:cs="Avenir"/>
          <w:b/>
          <w:color w:val="000000"/>
          <w:sz w:val="20"/>
          <w:szCs w:val="20"/>
        </w:rPr>
        <w:t xml:space="preserve">Společnost </w:t>
      </w:r>
      <w:r>
        <w:rPr>
          <w:rFonts w:ascii="Avenir" w:eastAsia="Avenir" w:hAnsi="Avenir" w:cs="Avenir"/>
          <w:color w:val="000000"/>
          <w:sz w:val="20"/>
          <w:szCs w:val="20"/>
        </w:rPr>
        <w:t xml:space="preserve">své produkty dodává v požadované kvalitě a dohodnutých termínech. Se všemi zákazníky udržuje </w:t>
      </w:r>
      <w:r>
        <w:rPr>
          <w:rFonts w:ascii="Avenir" w:eastAsia="Avenir" w:hAnsi="Avenir" w:cs="Avenir"/>
          <w:b/>
          <w:color w:val="000000"/>
          <w:sz w:val="20"/>
          <w:szCs w:val="20"/>
        </w:rPr>
        <w:t>Společnost</w:t>
      </w:r>
      <w:r>
        <w:rPr>
          <w:rFonts w:ascii="Avenir" w:eastAsia="Avenir" w:hAnsi="Avenir" w:cs="Avenir"/>
          <w:color w:val="000000"/>
          <w:sz w:val="20"/>
          <w:szCs w:val="20"/>
        </w:rPr>
        <w:t xml:space="preserve"> velice úzké vztahy, na základě nichž je schopna pružně reagovat na všechny jejich </w:t>
      </w:r>
    </w:p>
    <w:p w14:paraId="66ED23F7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venir" w:eastAsia="Avenir" w:hAnsi="Avenir" w:cs="Avenir"/>
          <w:color w:val="000000"/>
          <w:sz w:val="20"/>
          <w:szCs w:val="20"/>
        </w:rPr>
      </w:pPr>
      <w:r>
        <w:rPr>
          <w:rFonts w:ascii="Avenir" w:eastAsia="Avenir" w:hAnsi="Avenir" w:cs="Avenir"/>
          <w:color w:val="000000"/>
          <w:sz w:val="20"/>
          <w:szCs w:val="20"/>
        </w:rPr>
        <w:t>požadavky, potřeby a očekávání.</w:t>
      </w:r>
    </w:p>
    <w:p w14:paraId="3289AB20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648" w:hanging="2"/>
        <w:jc w:val="both"/>
        <w:rPr>
          <w:rFonts w:ascii="Avenir" w:eastAsia="Avenir" w:hAnsi="Avenir" w:cs="Avenir"/>
          <w:b/>
          <w:color w:val="000000"/>
          <w:sz w:val="20"/>
          <w:szCs w:val="20"/>
        </w:rPr>
      </w:pPr>
    </w:p>
    <w:p w14:paraId="6676AFC8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648" w:hanging="2"/>
        <w:jc w:val="both"/>
        <w:rPr>
          <w:rFonts w:ascii="Avenir" w:eastAsia="Avenir" w:hAnsi="Avenir" w:cs="Avenir"/>
          <w:color w:val="000000"/>
          <w:sz w:val="20"/>
          <w:szCs w:val="20"/>
        </w:rPr>
      </w:pPr>
      <w:r>
        <w:rPr>
          <w:rFonts w:ascii="Avenir" w:eastAsia="Avenir" w:hAnsi="Avenir" w:cs="Avenir"/>
          <w:b/>
          <w:color w:val="000000"/>
          <w:sz w:val="20"/>
          <w:szCs w:val="20"/>
        </w:rPr>
        <w:t>3. Hospodárnost a efektivita, dodavatelské vztahy</w:t>
      </w:r>
    </w:p>
    <w:p w14:paraId="72427E98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venir" w:eastAsia="Avenir" w:hAnsi="Avenir" w:cs="Avenir"/>
          <w:color w:val="000000"/>
          <w:sz w:val="20"/>
          <w:szCs w:val="20"/>
        </w:rPr>
      </w:pPr>
      <w:r>
        <w:rPr>
          <w:rFonts w:ascii="Avenir" w:eastAsia="Avenir" w:hAnsi="Avenir" w:cs="Avenir"/>
          <w:color w:val="000000"/>
          <w:sz w:val="20"/>
          <w:szCs w:val="20"/>
        </w:rPr>
        <w:t xml:space="preserve">Se svými dodavateli </w:t>
      </w:r>
      <w:r>
        <w:rPr>
          <w:rFonts w:ascii="Avenir" w:eastAsia="Avenir" w:hAnsi="Avenir" w:cs="Avenir"/>
          <w:b/>
          <w:color w:val="000000"/>
          <w:sz w:val="20"/>
          <w:szCs w:val="20"/>
        </w:rPr>
        <w:t xml:space="preserve">Společnost </w:t>
      </w:r>
      <w:r>
        <w:rPr>
          <w:rFonts w:ascii="Avenir" w:eastAsia="Avenir" w:hAnsi="Avenir" w:cs="Avenir"/>
          <w:color w:val="000000"/>
          <w:sz w:val="20"/>
          <w:szCs w:val="20"/>
        </w:rPr>
        <w:t xml:space="preserve">rozvíjí spolupráci na úrovni partnerských vztahů. Přijímá taková opatření, která jí umožňují snižovat náklady a zamezovat všem formám nehospodárnosti. </w:t>
      </w:r>
    </w:p>
    <w:p w14:paraId="7BFF7F7B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648" w:hanging="2"/>
        <w:jc w:val="both"/>
        <w:rPr>
          <w:rFonts w:ascii="Avenir" w:eastAsia="Avenir" w:hAnsi="Avenir" w:cs="Avenir"/>
          <w:color w:val="000000"/>
          <w:sz w:val="20"/>
          <w:szCs w:val="20"/>
        </w:rPr>
      </w:pPr>
      <w:r>
        <w:rPr>
          <w:rFonts w:ascii="Avenir" w:eastAsia="Avenir" w:hAnsi="Avenir" w:cs="Avenir"/>
          <w:color w:val="000000"/>
          <w:sz w:val="20"/>
          <w:szCs w:val="20"/>
        </w:rPr>
        <w:t xml:space="preserve"> </w:t>
      </w:r>
    </w:p>
    <w:p w14:paraId="13CA920A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648" w:hanging="2"/>
        <w:jc w:val="both"/>
        <w:rPr>
          <w:rFonts w:ascii="Avenir" w:eastAsia="Avenir" w:hAnsi="Avenir" w:cs="Avenir"/>
          <w:color w:val="000000"/>
          <w:sz w:val="20"/>
          <w:szCs w:val="20"/>
        </w:rPr>
      </w:pPr>
      <w:r>
        <w:rPr>
          <w:rFonts w:ascii="Avenir" w:eastAsia="Avenir" w:hAnsi="Avenir" w:cs="Avenir"/>
          <w:b/>
          <w:color w:val="000000"/>
          <w:sz w:val="20"/>
          <w:szCs w:val="20"/>
        </w:rPr>
        <w:t>4. Spolupracovníci</w:t>
      </w:r>
    </w:p>
    <w:p w14:paraId="5D5142F4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venir" w:eastAsia="Avenir" w:hAnsi="Avenir" w:cs="Avenir"/>
          <w:color w:val="000000"/>
          <w:sz w:val="20"/>
          <w:szCs w:val="20"/>
        </w:rPr>
      </w:pPr>
      <w:r>
        <w:rPr>
          <w:rFonts w:ascii="Avenir" w:eastAsia="Avenir" w:hAnsi="Avenir" w:cs="Avenir"/>
          <w:b/>
          <w:color w:val="000000"/>
          <w:sz w:val="20"/>
          <w:szCs w:val="20"/>
        </w:rPr>
        <w:t xml:space="preserve">Společnost </w:t>
      </w:r>
      <w:r>
        <w:rPr>
          <w:rFonts w:ascii="Avenir" w:eastAsia="Avenir" w:hAnsi="Avenir" w:cs="Avenir"/>
          <w:color w:val="000000"/>
          <w:sz w:val="20"/>
          <w:szCs w:val="20"/>
        </w:rPr>
        <w:t xml:space="preserve">si váží tvořivých a profesionálně zdatných spolupracovníků, kteří jsou ochotni se dále vzdělávat ve svém oboru. Snaží se je stále motivovat k produktivní a dobře odvedené práci a tím vytvářet předpoklady pro neustálé zlepšování spokojenosti zákazníků </w:t>
      </w:r>
      <w:r>
        <w:rPr>
          <w:rFonts w:ascii="Avenir" w:eastAsia="Avenir" w:hAnsi="Avenir" w:cs="Avenir"/>
          <w:b/>
          <w:color w:val="000000"/>
          <w:sz w:val="20"/>
          <w:szCs w:val="20"/>
        </w:rPr>
        <w:t>Společnosti</w:t>
      </w:r>
      <w:r>
        <w:rPr>
          <w:rFonts w:ascii="Avenir" w:eastAsia="Avenir" w:hAnsi="Avenir" w:cs="Avenir"/>
          <w:color w:val="000000"/>
          <w:sz w:val="20"/>
          <w:szCs w:val="20"/>
        </w:rPr>
        <w:t>.</w:t>
      </w:r>
      <w:r>
        <w:rPr>
          <w:rFonts w:ascii="Avenir" w:eastAsia="Avenir" w:hAnsi="Avenir" w:cs="Avenir"/>
          <w:sz w:val="20"/>
          <w:szCs w:val="20"/>
        </w:rPr>
        <w:t xml:space="preserve"> </w:t>
      </w:r>
      <w:r>
        <w:rPr>
          <w:rFonts w:ascii="Avenir" w:eastAsia="Avenir" w:hAnsi="Avenir" w:cs="Avenir"/>
          <w:color w:val="000000"/>
          <w:sz w:val="20"/>
          <w:szCs w:val="20"/>
        </w:rPr>
        <w:t xml:space="preserve">U klíčových pracovníků je podporován jejich trvalý rozvoj, a to jak v odborné způsobilosti, tak i ve znalostech v oblasti řízení, komunikace a týmové práce. </w:t>
      </w:r>
      <w:r>
        <w:rPr>
          <w:rFonts w:ascii="Avenir" w:eastAsia="Avenir" w:hAnsi="Avenir" w:cs="Avenir"/>
          <w:b/>
          <w:color w:val="000000"/>
          <w:sz w:val="20"/>
          <w:szCs w:val="20"/>
        </w:rPr>
        <w:t>Společnost</w:t>
      </w:r>
      <w:r>
        <w:rPr>
          <w:rFonts w:ascii="Avenir" w:eastAsia="Avenir" w:hAnsi="Avenir" w:cs="Avenir"/>
          <w:color w:val="000000"/>
          <w:sz w:val="20"/>
          <w:szCs w:val="20"/>
        </w:rPr>
        <w:t xml:space="preserve"> jako samostatný dokument vydala </w:t>
      </w:r>
      <w:r>
        <w:rPr>
          <w:rFonts w:ascii="Avenir" w:eastAsia="Avenir" w:hAnsi="Avenir" w:cs="Avenir"/>
          <w:b/>
          <w:color w:val="000000"/>
          <w:sz w:val="20"/>
          <w:szCs w:val="20"/>
        </w:rPr>
        <w:t>Etický kodex</w:t>
      </w:r>
      <w:r>
        <w:rPr>
          <w:rFonts w:ascii="Avenir" w:eastAsia="Avenir" w:hAnsi="Avenir" w:cs="Avenir"/>
          <w:color w:val="000000"/>
          <w:sz w:val="20"/>
          <w:szCs w:val="20"/>
        </w:rPr>
        <w:t xml:space="preserve">. </w:t>
      </w:r>
    </w:p>
    <w:p w14:paraId="118262C2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648" w:hanging="2"/>
        <w:jc w:val="both"/>
        <w:rPr>
          <w:rFonts w:ascii="Avenir" w:eastAsia="Avenir" w:hAnsi="Avenir" w:cs="Avenir"/>
          <w:b/>
          <w:color w:val="000000"/>
          <w:sz w:val="20"/>
          <w:szCs w:val="20"/>
        </w:rPr>
      </w:pPr>
    </w:p>
    <w:p w14:paraId="52137754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648" w:hanging="2"/>
        <w:jc w:val="both"/>
        <w:rPr>
          <w:rFonts w:ascii="Avenir" w:eastAsia="Avenir" w:hAnsi="Avenir" w:cs="Avenir"/>
          <w:color w:val="000000"/>
          <w:sz w:val="20"/>
          <w:szCs w:val="20"/>
        </w:rPr>
      </w:pPr>
      <w:r>
        <w:rPr>
          <w:rFonts w:ascii="Avenir" w:eastAsia="Avenir" w:hAnsi="Avenir" w:cs="Avenir"/>
          <w:b/>
          <w:color w:val="000000"/>
          <w:sz w:val="20"/>
          <w:szCs w:val="20"/>
        </w:rPr>
        <w:t>5. Bezpečnost informací</w:t>
      </w:r>
    </w:p>
    <w:p w14:paraId="4FD5BCF6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venir" w:eastAsia="Avenir" w:hAnsi="Avenir" w:cs="Avenir"/>
          <w:color w:val="000000"/>
          <w:sz w:val="20"/>
          <w:szCs w:val="20"/>
        </w:rPr>
      </w:pPr>
      <w:r>
        <w:rPr>
          <w:rFonts w:ascii="Avenir" w:eastAsia="Avenir" w:hAnsi="Avenir" w:cs="Avenir"/>
          <w:color w:val="000000"/>
          <w:sz w:val="20"/>
          <w:szCs w:val="20"/>
        </w:rPr>
        <w:t>Účelem implementace systému</w:t>
      </w:r>
      <w:r>
        <w:rPr>
          <w:rFonts w:ascii="Avenir" w:eastAsia="Avenir" w:hAnsi="Avenir" w:cs="Avenir"/>
          <w:sz w:val="20"/>
          <w:szCs w:val="20"/>
        </w:rPr>
        <w:t xml:space="preserve"> ISO 9001</w:t>
      </w:r>
      <w:r>
        <w:rPr>
          <w:rFonts w:ascii="Avenir" w:eastAsia="Avenir" w:hAnsi="Avenir" w:cs="Avenir"/>
          <w:color w:val="000000"/>
          <w:sz w:val="20"/>
          <w:szCs w:val="20"/>
        </w:rPr>
        <w:t xml:space="preserve"> je pro </w:t>
      </w:r>
      <w:r>
        <w:rPr>
          <w:rFonts w:ascii="Avenir" w:eastAsia="Avenir" w:hAnsi="Avenir" w:cs="Avenir"/>
          <w:b/>
          <w:color w:val="000000"/>
          <w:sz w:val="20"/>
          <w:szCs w:val="20"/>
        </w:rPr>
        <w:t>Společnost</w:t>
      </w:r>
      <w:r>
        <w:rPr>
          <w:rFonts w:ascii="Avenir" w:eastAsia="Avenir" w:hAnsi="Avenir" w:cs="Avenir"/>
          <w:color w:val="000000"/>
          <w:sz w:val="20"/>
          <w:szCs w:val="20"/>
        </w:rPr>
        <w:t xml:space="preserve"> i zajištění tzv. Business Continuity, minimalizace škodných rizik, a to formou prevence vzniku bezpečnostních incidentů a formou redukce jejich dopadů dovnitř </w:t>
      </w:r>
      <w:r>
        <w:rPr>
          <w:rFonts w:ascii="Avenir" w:eastAsia="Avenir" w:hAnsi="Avenir" w:cs="Avenir"/>
          <w:b/>
          <w:color w:val="000000"/>
          <w:sz w:val="20"/>
          <w:szCs w:val="20"/>
        </w:rPr>
        <w:t>Společnosti</w:t>
      </w:r>
      <w:r>
        <w:rPr>
          <w:rFonts w:ascii="Avenir" w:eastAsia="Avenir" w:hAnsi="Avenir" w:cs="Avenir"/>
          <w:color w:val="000000"/>
          <w:sz w:val="20"/>
          <w:szCs w:val="20"/>
        </w:rPr>
        <w:t xml:space="preserve">, ve směru k jejím zákazníkům a zainteresovaným třetím stranám, dále ochrana informačních aktiv </w:t>
      </w:r>
      <w:r>
        <w:rPr>
          <w:rFonts w:ascii="Avenir" w:eastAsia="Avenir" w:hAnsi="Avenir" w:cs="Avenir"/>
          <w:b/>
          <w:color w:val="000000"/>
          <w:sz w:val="20"/>
          <w:szCs w:val="20"/>
        </w:rPr>
        <w:t>Společnosti</w:t>
      </w:r>
      <w:r>
        <w:rPr>
          <w:rFonts w:ascii="Avenir" w:eastAsia="Avenir" w:hAnsi="Avenir" w:cs="Avenir"/>
          <w:color w:val="000000"/>
          <w:sz w:val="20"/>
          <w:szCs w:val="20"/>
        </w:rPr>
        <w:t xml:space="preserve"> proti všem interním, externím, cíleným nebo náhodným bezpečnostním incidentům.</w:t>
      </w:r>
    </w:p>
    <w:p w14:paraId="55BF1556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venir" w:eastAsia="Avenir" w:hAnsi="Avenir" w:cs="Avenir"/>
          <w:b/>
          <w:sz w:val="20"/>
          <w:szCs w:val="20"/>
        </w:rPr>
      </w:pPr>
    </w:p>
    <w:p w14:paraId="1EA27AA2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venir" w:eastAsia="Avenir" w:hAnsi="Avenir" w:cs="Avenir"/>
          <w:b/>
          <w:sz w:val="20"/>
          <w:szCs w:val="20"/>
        </w:rPr>
      </w:pPr>
      <w:r>
        <w:rPr>
          <w:rFonts w:ascii="Avenir" w:eastAsia="Avenir" w:hAnsi="Avenir" w:cs="Avenir"/>
          <w:b/>
          <w:sz w:val="20"/>
          <w:szCs w:val="20"/>
        </w:rPr>
        <w:t>6. Ochrana ŽP</w:t>
      </w:r>
      <w:r>
        <w:rPr>
          <w:rFonts w:ascii="Avenir" w:eastAsia="Avenir" w:hAnsi="Avenir" w:cs="Avenir"/>
          <w:color w:val="000000"/>
          <w:sz w:val="20"/>
          <w:szCs w:val="20"/>
        </w:rPr>
        <w:t xml:space="preserve">   </w:t>
      </w:r>
    </w:p>
    <w:p w14:paraId="5A474C07" w14:textId="77777777" w:rsidR="004930D8" w:rsidRDefault="001A4A42">
      <w:pPr>
        <w:ind w:left="0" w:hanging="2"/>
        <w:jc w:val="both"/>
        <w:rPr>
          <w:rFonts w:ascii="Avenir" w:eastAsia="Avenir" w:hAnsi="Avenir" w:cs="Avenir"/>
          <w:sz w:val="20"/>
          <w:szCs w:val="20"/>
        </w:rPr>
      </w:pPr>
      <w:r>
        <w:rPr>
          <w:rFonts w:ascii="Avenir" w:eastAsia="Avenir" w:hAnsi="Avenir" w:cs="Avenir"/>
          <w:b/>
          <w:sz w:val="20"/>
          <w:szCs w:val="20"/>
        </w:rPr>
        <w:t>Společnost</w:t>
      </w:r>
      <w:r>
        <w:rPr>
          <w:rFonts w:ascii="Avenir" w:eastAsia="Avenir" w:hAnsi="Avenir" w:cs="Avenir"/>
          <w:sz w:val="20"/>
          <w:szCs w:val="20"/>
        </w:rPr>
        <w:t xml:space="preserve"> se zavazuje plnit požadavky platných právních předpisů na ochranu životního prostředí, osvětovou činností prohlubovat povědomí o ochraně životního prostředí a zavazuje se získávat své okolí k užší spolupráci. </w:t>
      </w:r>
    </w:p>
    <w:p w14:paraId="7C3C84B4" w14:textId="77777777" w:rsidR="004930D8" w:rsidRDefault="004930D8">
      <w:pPr>
        <w:ind w:left="0" w:hanging="2"/>
        <w:jc w:val="both"/>
        <w:rPr>
          <w:rFonts w:ascii="Avenir" w:eastAsia="Avenir" w:hAnsi="Avenir" w:cs="Avenir"/>
          <w:b/>
          <w:sz w:val="20"/>
          <w:szCs w:val="20"/>
        </w:rPr>
      </w:pPr>
    </w:p>
    <w:p w14:paraId="38BBD744" w14:textId="77777777" w:rsidR="004930D8" w:rsidRDefault="001A4A42">
      <w:pPr>
        <w:ind w:left="0" w:hanging="2"/>
        <w:jc w:val="both"/>
        <w:rPr>
          <w:rFonts w:ascii="Avenir" w:eastAsia="Avenir" w:hAnsi="Avenir" w:cs="Avenir"/>
          <w:sz w:val="20"/>
          <w:szCs w:val="20"/>
        </w:rPr>
      </w:pPr>
      <w:r>
        <w:rPr>
          <w:rFonts w:ascii="Avenir" w:eastAsia="Avenir" w:hAnsi="Avenir" w:cs="Avenir"/>
          <w:b/>
          <w:sz w:val="20"/>
          <w:szCs w:val="20"/>
        </w:rPr>
        <w:t xml:space="preserve">Společnost </w:t>
      </w:r>
      <w:r>
        <w:rPr>
          <w:rFonts w:ascii="Avenir" w:eastAsia="Avenir" w:hAnsi="Avenir" w:cs="Avenir"/>
          <w:sz w:val="20"/>
          <w:szCs w:val="20"/>
        </w:rPr>
        <w:t xml:space="preserve">hledá možnosti snižování spotřeby energií a dalších vstupů, souvisejících s její činností. Realizuje hospodárná a efektivní opatření v oblasti využití odpadů. Zavazuje se usilovat o prevenci vzniku havarijních situací a pokud nastanou, postupovat podle postupů, zajišťujících omezení negativních vlivů na životní prostředí. Zavazuje se působit na své dodavatele a ostatní zainteresované strany, aby i oni byli šetrní k životnímu prostředí. V oblasti životního prostředí se zavazuje klást důraz na prevenci. </w:t>
      </w:r>
    </w:p>
    <w:p w14:paraId="193E1882" w14:textId="77777777" w:rsidR="004930D8" w:rsidRDefault="004930D8">
      <w:pPr>
        <w:ind w:left="0" w:right="-640" w:hanging="2"/>
        <w:jc w:val="both"/>
        <w:rPr>
          <w:rFonts w:ascii="Avenir" w:eastAsia="Avenir" w:hAnsi="Avenir" w:cs="Avenir"/>
          <w:b/>
          <w:sz w:val="20"/>
          <w:szCs w:val="20"/>
        </w:rPr>
      </w:pPr>
    </w:p>
    <w:p w14:paraId="7E3EEDAB" w14:textId="77777777" w:rsidR="004930D8" w:rsidRDefault="001A4A42">
      <w:pPr>
        <w:ind w:left="0" w:right="-640" w:hanging="2"/>
        <w:jc w:val="both"/>
        <w:rPr>
          <w:rFonts w:ascii="Avenir" w:eastAsia="Avenir" w:hAnsi="Avenir" w:cs="Avenir"/>
          <w:b/>
          <w:sz w:val="20"/>
          <w:szCs w:val="20"/>
        </w:rPr>
      </w:pPr>
      <w:r>
        <w:rPr>
          <w:rFonts w:ascii="Avenir" w:eastAsia="Avenir" w:hAnsi="Avenir" w:cs="Avenir"/>
          <w:b/>
          <w:sz w:val="20"/>
          <w:szCs w:val="20"/>
        </w:rPr>
        <w:t>7.Bezpečnost a ochrana zdraví při práci</w:t>
      </w:r>
    </w:p>
    <w:p w14:paraId="4F30AD09" w14:textId="77777777" w:rsidR="004930D8" w:rsidRDefault="001A4A42">
      <w:pPr>
        <w:ind w:left="0" w:hanging="2"/>
        <w:jc w:val="both"/>
        <w:rPr>
          <w:rFonts w:ascii="Avenir" w:eastAsia="Avenir" w:hAnsi="Avenir" w:cs="Avenir"/>
          <w:sz w:val="20"/>
          <w:szCs w:val="20"/>
        </w:rPr>
      </w:pPr>
      <w:r>
        <w:rPr>
          <w:rFonts w:ascii="Avenir" w:eastAsia="Avenir" w:hAnsi="Avenir" w:cs="Avenir"/>
          <w:b/>
          <w:sz w:val="20"/>
          <w:szCs w:val="20"/>
        </w:rPr>
        <w:lastRenderedPageBreak/>
        <w:t xml:space="preserve"> Společnost </w:t>
      </w:r>
      <w:r>
        <w:rPr>
          <w:rFonts w:ascii="Avenir" w:eastAsia="Avenir" w:hAnsi="Avenir" w:cs="Avenir"/>
          <w:sz w:val="20"/>
          <w:szCs w:val="20"/>
        </w:rPr>
        <w:t xml:space="preserve">se zavazuje zajistit bezpečné a zdravé pracovní podmínky. Zavazuje se odstraňovat nebezpečí, a snižovat rizika v oblasti bezpečnosti a ochrany zdraví při práci. Přijímá veškeré odpovědnosti a povinnosti, týkající se prevence pracovních úrazů a poškození zdraví. Zajišťuje integraci požadavků systému bezpečnosti a ochrany zdraví při práci do všech procesů ve </w:t>
      </w:r>
      <w:r>
        <w:rPr>
          <w:rFonts w:ascii="Avenir" w:eastAsia="Avenir" w:hAnsi="Avenir" w:cs="Avenir"/>
          <w:b/>
          <w:sz w:val="20"/>
          <w:szCs w:val="20"/>
        </w:rPr>
        <w:t>Společnosti</w:t>
      </w:r>
      <w:r>
        <w:rPr>
          <w:rFonts w:ascii="Avenir" w:eastAsia="Avenir" w:hAnsi="Avenir" w:cs="Avenir"/>
          <w:sz w:val="20"/>
          <w:szCs w:val="20"/>
        </w:rPr>
        <w:t>. Zajišťuje potřebné zdroje v této oblasti, směřuje a podporuje spolupracovníky, aby přispívali k efektivnosti celého systému.</w:t>
      </w:r>
    </w:p>
    <w:p w14:paraId="196B0C1C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venir" w:eastAsia="Avenir" w:hAnsi="Avenir" w:cs="Avenir"/>
          <w:sz w:val="20"/>
          <w:szCs w:val="20"/>
        </w:rPr>
      </w:pPr>
    </w:p>
    <w:p w14:paraId="3ABC5FD8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venir" w:eastAsia="Avenir" w:hAnsi="Avenir" w:cs="Avenir"/>
          <w:color w:val="000000"/>
          <w:sz w:val="20"/>
          <w:szCs w:val="20"/>
        </w:rPr>
      </w:pPr>
      <w:r>
        <w:rPr>
          <w:rFonts w:ascii="Avenir" w:eastAsia="Avenir" w:hAnsi="Avenir" w:cs="Avenir"/>
          <w:color w:val="000000"/>
          <w:sz w:val="20"/>
          <w:szCs w:val="20"/>
        </w:rPr>
        <w:t xml:space="preserve">Vedení </w:t>
      </w:r>
      <w:r>
        <w:rPr>
          <w:rFonts w:ascii="Avenir" w:eastAsia="Avenir" w:hAnsi="Avenir" w:cs="Avenir"/>
          <w:b/>
          <w:color w:val="000000"/>
          <w:sz w:val="20"/>
          <w:szCs w:val="20"/>
        </w:rPr>
        <w:t>Společnosti</w:t>
      </w:r>
      <w:r>
        <w:rPr>
          <w:rFonts w:ascii="Avenir" w:eastAsia="Avenir" w:hAnsi="Avenir" w:cs="Avenir"/>
          <w:color w:val="000000"/>
          <w:sz w:val="20"/>
          <w:szCs w:val="20"/>
        </w:rPr>
        <w:t xml:space="preserve"> se zavazuje k neustálému zlepšování efektivnosti systému managementu bezpečnosti informací, a k odpovědnosti za tuto efektivnost, je si vědomo svých rizik, které snižuje díky plánovaným opatřením, interním a externím aspektům, a to vše v kontextu organizace. Při plánování a realizaci změn ve </w:t>
      </w:r>
      <w:r>
        <w:rPr>
          <w:rFonts w:ascii="Avenir" w:eastAsia="Avenir" w:hAnsi="Avenir" w:cs="Avenir"/>
          <w:b/>
          <w:color w:val="000000"/>
          <w:sz w:val="20"/>
          <w:szCs w:val="20"/>
        </w:rPr>
        <w:t>Společnosti</w:t>
      </w:r>
      <w:r>
        <w:rPr>
          <w:rFonts w:ascii="Avenir" w:eastAsia="Avenir" w:hAnsi="Avenir" w:cs="Avenir"/>
          <w:color w:val="000000"/>
          <w:sz w:val="20"/>
          <w:szCs w:val="20"/>
        </w:rPr>
        <w:t xml:space="preserve"> je zajištěna integrita. </w:t>
      </w:r>
      <w:r>
        <w:rPr>
          <w:rFonts w:ascii="Avenir" w:eastAsia="Avenir" w:hAnsi="Avenir" w:cs="Avenir"/>
          <w:b/>
          <w:color w:val="000000"/>
          <w:sz w:val="20"/>
          <w:szCs w:val="20"/>
        </w:rPr>
        <w:t>Společnost</w:t>
      </w:r>
      <w:r>
        <w:rPr>
          <w:rFonts w:ascii="Avenir" w:eastAsia="Avenir" w:hAnsi="Avenir" w:cs="Avenir"/>
          <w:color w:val="000000"/>
          <w:sz w:val="20"/>
          <w:szCs w:val="20"/>
        </w:rPr>
        <w:t xml:space="preserve"> trvale plní příslušné požadavky zákonů a předpisů a dále požadavky zákazníka, které jsou určeny a pochopeny. Z Politiky vycházejí roční cíle </w:t>
      </w:r>
      <w:r>
        <w:rPr>
          <w:rFonts w:ascii="Avenir" w:eastAsia="Avenir" w:hAnsi="Avenir" w:cs="Avenir"/>
          <w:b/>
          <w:color w:val="000000"/>
          <w:sz w:val="20"/>
          <w:szCs w:val="20"/>
        </w:rPr>
        <w:t>Společnosti</w:t>
      </w:r>
      <w:r>
        <w:rPr>
          <w:rFonts w:ascii="Avenir" w:eastAsia="Avenir" w:hAnsi="Avenir" w:cs="Avenir"/>
          <w:color w:val="000000"/>
          <w:sz w:val="20"/>
          <w:szCs w:val="20"/>
        </w:rPr>
        <w:t>. Vedení</w:t>
      </w:r>
      <w:r>
        <w:rPr>
          <w:rFonts w:ascii="Avenir" w:eastAsia="Avenir" w:hAnsi="Avenir" w:cs="Avenir"/>
          <w:color w:val="000000"/>
          <w:sz w:val="20"/>
          <w:szCs w:val="20"/>
        </w:rPr>
        <w:t xml:space="preserve"> </w:t>
      </w:r>
      <w:r>
        <w:rPr>
          <w:rFonts w:ascii="Avenir" w:eastAsia="Avenir" w:hAnsi="Avenir" w:cs="Avenir"/>
          <w:b/>
          <w:color w:val="000000"/>
          <w:sz w:val="20"/>
          <w:szCs w:val="20"/>
        </w:rPr>
        <w:t xml:space="preserve">Společnosti </w:t>
      </w:r>
      <w:r>
        <w:rPr>
          <w:rFonts w:ascii="Avenir" w:eastAsia="Avenir" w:hAnsi="Avenir" w:cs="Avenir"/>
          <w:color w:val="000000"/>
          <w:sz w:val="20"/>
          <w:szCs w:val="20"/>
        </w:rPr>
        <w:t>se zavazuje ke splnění všech aplikovaných požadavků</w:t>
      </w:r>
      <w:r>
        <w:rPr>
          <w:rFonts w:ascii="Avenir" w:eastAsia="Avenir" w:hAnsi="Avenir" w:cs="Avenir"/>
          <w:sz w:val="20"/>
          <w:szCs w:val="20"/>
        </w:rPr>
        <w:t>.</w:t>
      </w:r>
      <w:r>
        <w:rPr>
          <w:rFonts w:ascii="Avenir" w:eastAsia="Avenir" w:hAnsi="Avenir" w:cs="Avenir"/>
          <w:color w:val="000000"/>
          <w:sz w:val="20"/>
          <w:szCs w:val="20"/>
        </w:rPr>
        <w:t xml:space="preserve"> Politika je jednou ročně přezkoumána v rámci Zprávy z Přezkoumání. </w:t>
      </w:r>
    </w:p>
    <w:p w14:paraId="67B5BADB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venir" w:eastAsia="Avenir" w:hAnsi="Avenir" w:cs="Avenir"/>
          <w:sz w:val="20"/>
          <w:szCs w:val="20"/>
        </w:rPr>
      </w:pPr>
    </w:p>
    <w:p w14:paraId="41CE5826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venir" w:eastAsia="Avenir" w:hAnsi="Avenir" w:cs="Avenir"/>
          <w:sz w:val="20"/>
          <w:szCs w:val="20"/>
        </w:rPr>
      </w:pPr>
      <w:r>
        <w:rPr>
          <w:rFonts w:ascii="Avenir" w:eastAsia="Avenir" w:hAnsi="Avenir" w:cs="Avenir"/>
          <w:sz w:val="20"/>
          <w:szCs w:val="20"/>
        </w:rPr>
        <w:t xml:space="preserve">Politika je ve </w:t>
      </w:r>
      <w:r>
        <w:rPr>
          <w:rFonts w:ascii="Avenir" w:eastAsia="Avenir" w:hAnsi="Avenir" w:cs="Avenir"/>
          <w:b/>
          <w:sz w:val="20"/>
          <w:szCs w:val="20"/>
        </w:rPr>
        <w:t>Společnosti</w:t>
      </w:r>
      <w:r>
        <w:rPr>
          <w:rFonts w:ascii="Avenir" w:eastAsia="Avenir" w:hAnsi="Avenir" w:cs="Avenir"/>
          <w:sz w:val="20"/>
          <w:szCs w:val="20"/>
        </w:rPr>
        <w:t xml:space="preserve"> vydána jako samostatný dokument a jsou s ní seznámeny všechny zainteresované strany. Politika je dostupná na jejích internetových stránkách.</w:t>
      </w:r>
    </w:p>
    <w:p w14:paraId="2418758F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tabs>
          <w:tab w:val="center" w:pos="4749"/>
          <w:tab w:val="left" w:pos="7395"/>
        </w:tabs>
        <w:spacing w:line="240" w:lineRule="auto"/>
        <w:ind w:left="0" w:hanging="2"/>
        <w:rPr>
          <w:rFonts w:ascii="Avenir" w:eastAsia="Avenir" w:hAnsi="Avenir" w:cs="Avenir"/>
          <w:sz w:val="20"/>
          <w:szCs w:val="20"/>
        </w:rPr>
      </w:pPr>
    </w:p>
    <w:p w14:paraId="5962BAED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3BA9F6FB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0274CFB5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56510208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7CC7DE59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1AA9ED54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04025FB3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6A1E01A2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1C31991E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35CBD1A4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                          </w:t>
      </w:r>
    </w:p>
    <w:p w14:paraId="67364DD4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30FCF5A0" w14:textId="55F4A5FF" w:rsidR="004930D8" w:rsidRDefault="001A4A42" w:rsidP="00E124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Ing. Tomáš Mikule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- jednatel</w:t>
      </w:r>
    </w:p>
    <w:p w14:paraId="7367D70F" w14:textId="7692B631" w:rsidR="004930D8" w:rsidRPr="00E1240A" w:rsidRDefault="00E124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  <w:lang w:val="en-US"/>
        </w:rPr>
      </w:pPr>
      <w:r>
        <w:rPr>
          <w:rFonts w:ascii="Calibri" w:eastAsia="Calibri" w:hAnsi="Calibri" w:cs="Calibri"/>
          <w:noProof/>
          <w:color w:val="000000"/>
          <w:sz w:val="18"/>
          <w:szCs w:val="18"/>
          <w:lang w:val="en-US"/>
        </w:rPr>
        <w:t xml:space="preserve">                                                                                                                                </w:t>
      </w:r>
      <w:r>
        <w:rPr>
          <w:rFonts w:ascii="Calibri" w:eastAsia="Calibri" w:hAnsi="Calibri" w:cs="Calibri"/>
          <w:noProof/>
          <w:color w:val="000000"/>
          <w:sz w:val="18"/>
          <w:szCs w:val="18"/>
          <w:lang w:val="en-US"/>
        </w:rPr>
        <w:drawing>
          <wp:inline distT="0" distB="0" distL="0" distR="0" wp14:anchorId="2F95C8CA" wp14:editId="564CAC8E">
            <wp:extent cx="1924050" cy="990600"/>
            <wp:effectExtent l="0" t="0" r="0" b="0"/>
            <wp:docPr id="29720851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208511" name="Obrázek 2972085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957" cy="101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255C7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6191B2E5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2D88E1EB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774FCF55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4BD1DD59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4D2587B5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33D40591" w14:textId="77777777" w:rsidR="004930D8" w:rsidRDefault="004930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67E66B35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Filip Weiss - Jednatel</w:t>
      </w:r>
    </w:p>
    <w:p w14:paraId="0DABC0CD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  <w:sz w:val="18"/>
          <w:szCs w:val="18"/>
        </w:rPr>
      </w:pPr>
      <w:r>
        <w:t xml:space="preserve">                                                                      </w:t>
      </w:r>
      <w:r>
        <w:rPr>
          <w:noProof/>
        </w:rPr>
        <w:drawing>
          <wp:inline distT="0" distB="0" distL="0" distR="0" wp14:anchorId="33702697" wp14:editId="70853B81">
            <wp:extent cx="2209800" cy="866775"/>
            <wp:effectExtent l="0" t="0" r="0" b="0"/>
            <wp:docPr id="1970990969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866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</w:t>
      </w:r>
    </w:p>
    <w:p w14:paraId="11102535" w14:textId="77777777" w:rsidR="004930D8" w:rsidRDefault="001A4A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248BD19" wp14:editId="7B8B3E05">
                <wp:simplePos x="0" y="0"/>
                <wp:positionH relativeFrom="column">
                  <wp:posOffset>3683000</wp:posOffset>
                </wp:positionH>
                <wp:positionV relativeFrom="paragraph">
                  <wp:posOffset>101600</wp:posOffset>
                </wp:positionV>
                <wp:extent cx="0" cy="12700"/>
                <wp:effectExtent l="0" t="0" r="0" b="0"/>
                <wp:wrapNone/>
                <wp:docPr id="1970990968" name="Přímá spojnice se šipkou 19709909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93488" y="3780000"/>
                          <a:ext cx="210502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3683000</wp:posOffset>
                </wp:positionH>
                <wp:positionV relativeFrom="paragraph">
                  <wp:posOffset>101600</wp:posOffset>
                </wp:positionV>
                <wp:extent cx="0" cy="12700"/>
                <wp:effectExtent b="0" l="0" r="0" t="0"/>
                <wp:wrapNone/>
                <wp:docPr id="197099096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4930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079" w:right="991" w:bottom="719" w:left="1417" w:header="567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A2DF00" w14:textId="77777777" w:rsidR="001A4A42" w:rsidRDefault="001A4A42">
      <w:pPr>
        <w:spacing w:line="240" w:lineRule="auto"/>
        <w:ind w:left="0" w:hanging="2"/>
      </w:pPr>
      <w:r>
        <w:separator/>
      </w:r>
    </w:p>
  </w:endnote>
  <w:endnote w:type="continuationSeparator" w:id="0">
    <w:p w14:paraId="22952CAC" w14:textId="77777777" w:rsidR="001A4A42" w:rsidRDefault="001A4A4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venir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302CE5" w14:textId="77777777" w:rsidR="004930D8" w:rsidRDefault="004930D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17CD1F" w14:textId="77777777" w:rsidR="004930D8" w:rsidRDefault="001A4A42">
    <w:pPr>
      <w:ind w:left="0" w:hanging="2"/>
      <w:jc w:val="center"/>
      <w:rPr>
        <w:rFonts w:ascii="Avenir" w:eastAsia="Avenir" w:hAnsi="Avenir" w:cs="Avenir"/>
        <w:sz w:val="16"/>
        <w:szCs w:val="16"/>
      </w:rPr>
    </w:pPr>
    <w:r>
      <w:rPr>
        <w:rFonts w:ascii="Avenir" w:eastAsia="Avenir" w:hAnsi="Avenir" w:cs="Avenir"/>
        <w:sz w:val="16"/>
        <w:szCs w:val="16"/>
      </w:rPr>
      <w:t>Systém managementu dle norem ISO byl zaveden ve spolupráci s poradenskou společností  </w:t>
    </w:r>
  </w:p>
  <w:p w14:paraId="3124F627" w14:textId="77777777" w:rsidR="004930D8" w:rsidRDefault="001A4A42">
    <w:pPr>
      <w:ind w:left="0" w:hanging="2"/>
      <w:jc w:val="center"/>
      <w:rPr>
        <w:rFonts w:ascii="Avenir" w:eastAsia="Avenir" w:hAnsi="Avenir" w:cs="Avenir"/>
        <w:sz w:val="16"/>
        <w:szCs w:val="16"/>
      </w:rPr>
    </w:pPr>
    <w:r>
      <w:rPr>
        <w:rFonts w:ascii="Avenir" w:eastAsia="Avenir" w:hAnsi="Avenir" w:cs="Avenir"/>
        <w:noProof/>
        <w:sz w:val="16"/>
        <w:szCs w:val="16"/>
      </w:rPr>
      <w:drawing>
        <wp:inline distT="0" distB="0" distL="0" distR="0" wp14:anchorId="0127355F" wp14:editId="583735A2">
          <wp:extent cx="1316990" cy="191770"/>
          <wp:effectExtent l="0" t="0" r="0" b="0"/>
          <wp:docPr id="197099097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6990" cy="1917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venir" w:eastAsia="Avenir" w:hAnsi="Avenir" w:cs="Avenir"/>
        <w:sz w:val="16"/>
        <w:szCs w:val="16"/>
      </w:rPr>
      <w:t xml:space="preserve"> 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425233" w14:textId="77777777" w:rsidR="004930D8" w:rsidRDefault="004930D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9D0902" w14:textId="77777777" w:rsidR="001A4A42" w:rsidRDefault="001A4A42">
      <w:pPr>
        <w:spacing w:line="240" w:lineRule="auto"/>
        <w:ind w:left="0" w:hanging="2"/>
      </w:pPr>
      <w:r>
        <w:separator/>
      </w:r>
    </w:p>
  </w:footnote>
  <w:footnote w:type="continuationSeparator" w:id="0">
    <w:p w14:paraId="5BEC28F6" w14:textId="77777777" w:rsidR="001A4A42" w:rsidRDefault="001A4A4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C00FE9" w14:textId="77777777" w:rsidR="004930D8" w:rsidRDefault="004930D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1099C" w14:textId="77777777" w:rsidR="004930D8" w:rsidRDefault="004930D8">
    <w:pPr>
      <w:widowControl w:val="0"/>
      <w:spacing w:line="276" w:lineRule="auto"/>
      <w:ind w:left="0" w:hanging="2"/>
      <w:rPr>
        <w:rFonts w:ascii="Calibri" w:eastAsia="Calibri" w:hAnsi="Calibri" w:cs="Calibri"/>
      </w:rPr>
    </w:pPr>
  </w:p>
  <w:tbl>
    <w:tblPr>
      <w:tblStyle w:val="a0"/>
      <w:tblW w:w="10155" w:type="dxa"/>
      <w:tblInd w:w="-63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2775"/>
      <w:gridCol w:w="2715"/>
      <w:gridCol w:w="2100"/>
      <w:gridCol w:w="1140"/>
      <w:gridCol w:w="1425"/>
    </w:tblGrid>
    <w:tr w:rsidR="004930D8" w14:paraId="19FE69F0" w14:textId="77777777">
      <w:trPr>
        <w:trHeight w:val="1050"/>
      </w:trPr>
      <w:tc>
        <w:tcPr>
          <w:tcW w:w="27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E9A6DE8" w14:textId="77777777" w:rsidR="004930D8" w:rsidRDefault="001A4A42">
          <w:pPr>
            <w:widowControl w:val="0"/>
            <w:tabs>
              <w:tab w:val="center" w:pos="4536"/>
              <w:tab w:val="right" w:pos="9072"/>
            </w:tabs>
            <w:ind w:left="0" w:hanging="2"/>
            <w:jc w:val="center"/>
            <w:rPr>
              <w:rFonts w:ascii="Calibri" w:eastAsia="Calibri" w:hAnsi="Calibri" w:cs="Calibri"/>
              <w:color w:val="C00000"/>
            </w:rPr>
          </w:pPr>
          <w:r>
            <w:rPr>
              <w:rFonts w:ascii="Calibri" w:eastAsia="Calibri" w:hAnsi="Calibri" w:cs="Calibri"/>
              <w:noProof/>
              <w:color w:val="C00000"/>
            </w:rPr>
            <w:drawing>
              <wp:inline distT="114300" distB="114300" distL="114300" distR="114300" wp14:anchorId="6894B4C7" wp14:editId="2BE812D5">
                <wp:extent cx="1362075" cy="431800"/>
                <wp:effectExtent l="0" t="0" r="0" b="0"/>
                <wp:docPr id="1970990971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2075" cy="431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5" w:type="dxa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57714A7" w14:textId="77777777" w:rsidR="004930D8" w:rsidRDefault="001A4A42">
          <w:pPr>
            <w:widowControl w:val="0"/>
            <w:tabs>
              <w:tab w:val="center" w:pos="4536"/>
              <w:tab w:val="right" w:pos="9072"/>
              <w:tab w:val="left" w:pos="1843"/>
              <w:tab w:val="left" w:pos="3686"/>
              <w:tab w:val="left" w:pos="5529"/>
              <w:tab w:val="left" w:pos="7371"/>
            </w:tabs>
            <w:spacing w:before="120"/>
            <w:ind w:left="1" w:hanging="3"/>
            <w:jc w:val="center"/>
            <w:rPr>
              <w:rFonts w:ascii="Calibri" w:eastAsia="Calibri" w:hAnsi="Calibri" w:cs="Calibri"/>
              <w:b/>
              <w:sz w:val="32"/>
              <w:szCs w:val="32"/>
            </w:rPr>
          </w:pPr>
          <w:r>
            <w:rPr>
              <w:rFonts w:ascii="Calibri" w:eastAsia="Calibri" w:hAnsi="Calibri" w:cs="Calibri"/>
              <w:b/>
              <w:sz w:val="32"/>
              <w:szCs w:val="32"/>
            </w:rPr>
            <w:t xml:space="preserve">Vize - Politika společnosti </w:t>
          </w:r>
        </w:p>
        <w:p w14:paraId="54602D6C" w14:textId="77777777" w:rsidR="004930D8" w:rsidRDefault="001A4A42">
          <w:pPr>
            <w:widowControl w:val="0"/>
            <w:tabs>
              <w:tab w:val="center" w:pos="4536"/>
              <w:tab w:val="right" w:pos="9072"/>
              <w:tab w:val="left" w:pos="1843"/>
              <w:tab w:val="left" w:pos="3686"/>
              <w:tab w:val="left" w:pos="5529"/>
              <w:tab w:val="left" w:pos="7371"/>
            </w:tabs>
            <w:spacing w:before="120"/>
            <w:ind w:left="1" w:hanging="3"/>
            <w:jc w:val="center"/>
            <w:rPr>
              <w:rFonts w:ascii="Calibri" w:eastAsia="Calibri" w:hAnsi="Calibri" w:cs="Calibri"/>
              <w:sz w:val="32"/>
              <w:szCs w:val="32"/>
            </w:rPr>
          </w:pPr>
          <w:r>
            <w:rPr>
              <w:rFonts w:ascii="Calibri" w:eastAsia="Calibri" w:hAnsi="Calibri" w:cs="Calibri"/>
              <w:b/>
              <w:sz w:val="32"/>
              <w:szCs w:val="32"/>
            </w:rPr>
            <w:t>dle ISO 9001, ISO 14001 a ISO 45001</w:t>
          </w:r>
        </w:p>
      </w:tc>
      <w:tc>
        <w:tcPr>
          <w:tcW w:w="14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8BB7183" w14:textId="77777777" w:rsidR="004930D8" w:rsidRDefault="001A4A42">
          <w:pPr>
            <w:widowControl w:val="0"/>
            <w:tabs>
              <w:tab w:val="center" w:pos="4536"/>
              <w:tab w:val="right" w:pos="9072"/>
              <w:tab w:val="left" w:pos="1843"/>
              <w:tab w:val="left" w:pos="3686"/>
              <w:tab w:val="left" w:pos="5529"/>
              <w:tab w:val="left" w:pos="7371"/>
            </w:tabs>
            <w:spacing w:line="360" w:lineRule="auto"/>
            <w:ind w:left="0" w:hanging="2"/>
            <w:jc w:val="center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</w:rPr>
            <w:t>V-02</w:t>
          </w:r>
        </w:p>
      </w:tc>
    </w:tr>
    <w:tr w:rsidR="004930D8" w14:paraId="5FB03C1F" w14:textId="77777777">
      <w:trPr>
        <w:trHeight w:val="540"/>
      </w:trPr>
      <w:tc>
        <w:tcPr>
          <w:tcW w:w="27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032CA45" w14:textId="77777777" w:rsidR="004930D8" w:rsidRDefault="001A4A42">
          <w:pPr>
            <w:tabs>
              <w:tab w:val="center" w:pos="4536"/>
              <w:tab w:val="right" w:pos="9072"/>
              <w:tab w:val="left" w:pos="1843"/>
              <w:tab w:val="left" w:pos="3686"/>
              <w:tab w:val="left" w:pos="5529"/>
              <w:tab w:val="left" w:pos="7371"/>
            </w:tabs>
            <w:spacing w:line="360" w:lineRule="auto"/>
            <w:ind w:left="0" w:hanging="2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sz w:val="22"/>
              <w:szCs w:val="22"/>
            </w:rPr>
            <w:t>Vydal: Filip Weiss, jednatel</w:t>
          </w:r>
        </w:p>
      </w:tc>
      <w:tc>
        <w:tcPr>
          <w:tcW w:w="271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478687BE" w14:textId="77777777" w:rsidR="004930D8" w:rsidRDefault="001A4A42">
          <w:pPr>
            <w:tabs>
              <w:tab w:val="center" w:pos="4536"/>
              <w:tab w:val="right" w:pos="9072"/>
              <w:tab w:val="left" w:pos="1843"/>
              <w:tab w:val="left" w:pos="3686"/>
              <w:tab w:val="left" w:pos="5529"/>
              <w:tab w:val="left" w:pos="7371"/>
            </w:tabs>
            <w:spacing w:line="360" w:lineRule="auto"/>
            <w:ind w:left="0" w:hanging="2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sz w:val="22"/>
              <w:szCs w:val="22"/>
            </w:rPr>
            <w:t>Datum vydání: 04.07.2024</w:t>
          </w:r>
        </w:p>
      </w:tc>
      <w:tc>
        <w:tcPr>
          <w:tcW w:w="21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0F12533A" w14:textId="77777777" w:rsidR="004930D8" w:rsidRDefault="001A4A42">
          <w:pPr>
            <w:widowControl w:val="0"/>
            <w:tabs>
              <w:tab w:val="center" w:pos="4536"/>
              <w:tab w:val="right" w:pos="9072"/>
              <w:tab w:val="left" w:pos="1843"/>
              <w:tab w:val="left" w:pos="3686"/>
              <w:tab w:val="left" w:pos="5529"/>
              <w:tab w:val="left" w:pos="7371"/>
            </w:tabs>
            <w:spacing w:line="360" w:lineRule="auto"/>
            <w:ind w:left="0" w:hanging="2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sz w:val="22"/>
              <w:szCs w:val="22"/>
            </w:rPr>
            <w:t>Datum aktualizace:</w:t>
          </w:r>
        </w:p>
      </w:tc>
      <w:tc>
        <w:tcPr>
          <w:tcW w:w="1140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4D0F8B52" w14:textId="77777777" w:rsidR="004930D8" w:rsidRDefault="004930D8">
          <w:pPr>
            <w:widowControl w:val="0"/>
            <w:tabs>
              <w:tab w:val="center" w:pos="4536"/>
              <w:tab w:val="right" w:pos="9072"/>
              <w:tab w:val="left" w:pos="1843"/>
              <w:tab w:val="left" w:pos="3686"/>
              <w:tab w:val="left" w:pos="5529"/>
              <w:tab w:val="left" w:pos="7371"/>
            </w:tabs>
            <w:spacing w:line="360" w:lineRule="auto"/>
            <w:ind w:left="0" w:hanging="2"/>
            <w:rPr>
              <w:rFonts w:ascii="Calibri" w:eastAsia="Calibri" w:hAnsi="Calibri" w:cs="Calibri"/>
              <w:sz w:val="22"/>
              <w:szCs w:val="22"/>
            </w:rPr>
          </w:pPr>
        </w:p>
      </w:tc>
      <w:tc>
        <w:tcPr>
          <w:tcW w:w="14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860ABEB" w14:textId="77777777" w:rsidR="004930D8" w:rsidRDefault="001A4A42">
          <w:pPr>
            <w:widowControl w:val="0"/>
            <w:tabs>
              <w:tab w:val="center" w:pos="4536"/>
              <w:tab w:val="right" w:pos="9072"/>
              <w:tab w:val="left" w:pos="1843"/>
              <w:tab w:val="left" w:pos="3686"/>
              <w:tab w:val="left" w:pos="5529"/>
              <w:tab w:val="left" w:pos="7371"/>
            </w:tabs>
            <w:spacing w:line="360" w:lineRule="auto"/>
            <w:ind w:left="0" w:hanging="2"/>
            <w:jc w:val="center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sz w:val="22"/>
              <w:szCs w:val="22"/>
            </w:rPr>
            <w:t xml:space="preserve">Strana: </w:t>
          </w:r>
          <w:r>
            <w:rPr>
              <w:rFonts w:ascii="Calibri" w:eastAsia="Calibri" w:hAnsi="Calibri" w:cs="Calibri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sz w:val="22"/>
              <w:szCs w:val="22"/>
            </w:rPr>
            <w:instrText>PAGE</w:instrText>
          </w:r>
          <w:r>
            <w:rPr>
              <w:rFonts w:ascii="Calibri" w:eastAsia="Calibri" w:hAnsi="Calibri" w:cs="Calibri"/>
              <w:sz w:val="22"/>
              <w:szCs w:val="22"/>
            </w:rPr>
            <w:fldChar w:fldCharType="separate"/>
          </w:r>
          <w:r w:rsidR="00E1240A">
            <w:rPr>
              <w:rFonts w:ascii="Calibri" w:eastAsia="Calibri" w:hAnsi="Calibri" w:cs="Calibri"/>
              <w:noProof/>
              <w:sz w:val="22"/>
              <w:szCs w:val="22"/>
            </w:rPr>
            <w:t>1</w:t>
          </w:r>
          <w:r>
            <w:rPr>
              <w:rFonts w:ascii="Calibri" w:eastAsia="Calibri" w:hAnsi="Calibri" w:cs="Calibri"/>
              <w:sz w:val="22"/>
              <w:szCs w:val="22"/>
            </w:rPr>
            <w:fldChar w:fldCharType="end"/>
          </w:r>
          <w:r>
            <w:rPr>
              <w:rFonts w:ascii="Calibri" w:eastAsia="Calibri" w:hAnsi="Calibri" w:cs="Calibri"/>
              <w:sz w:val="22"/>
              <w:szCs w:val="22"/>
            </w:rPr>
            <w:t xml:space="preserve"> / </w:t>
          </w:r>
          <w:r>
            <w:rPr>
              <w:rFonts w:ascii="Calibri" w:eastAsia="Calibri" w:hAnsi="Calibri" w:cs="Calibri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sz w:val="22"/>
              <w:szCs w:val="22"/>
            </w:rPr>
            <w:instrText>NUMPAGES</w:instrText>
          </w:r>
          <w:r>
            <w:rPr>
              <w:rFonts w:ascii="Calibri" w:eastAsia="Calibri" w:hAnsi="Calibri" w:cs="Calibri"/>
              <w:sz w:val="22"/>
              <w:szCs w:val="22"/>
            </w:rPr>
            <w:fldChar w:fldCharType="separate"/>
          </w:r>
          <w:r w:rsidR="00E1240A">
            <w:rPr>
              <w:rFonts w:ascii="Calibri" w:eastAsia="Calibri" w:hAnsi="Calibri" w:cs="Calibri"/>
              <w:noProof/>
              <w:sz w:val="22"/>
              <w:szCs w:val="22"/>
            </w:rPr>
            <w:t>2</w:t>
          </w:r>
          <w:r>
            <w:rPr>
              <w:rFonts w:ascii="Calibri" w:eastAsia="Calibri" w:hAnsi="Calibri" w:cs="Calibri"/>
              <w:sz w:val="22"/>
              <w:szCs w:val="22"/>
            </w:rPr>
            <w:fldChar w:fldCharType="end"/>
          </w:r>
        </w:p>
      </w:tc>
    </w:tr>
  </w:tbl>
  <w:p w14:paraId="06FF64BB" w14:textId="77777777" w:rsidR="004930D8" w:rsidRDefault="004930D8">
    <w:pPr>
      <w:widowControl w:val="0"/>
      <w:tabs>
        <w:tab w:val="center" w:pos="4536"/>
        <w:tab w:val="right" w:pos="9072"/>
      </w:tabs>
      <w:ind w:left="0" w:hanging="2"/>
      <w:jc w:val="center"/>
      <w:rPr>
        <w:rFonts w:ascii="Calibri" w:eastAsia="Calibri" w:hAnsi="Calibri" w:cs="Calibr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5CA22" w14:textId="77777777" w:rsidR="004930D8" w:rsidRDefault="004930D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0D8"/>
    <w:rsid w:val="001A4A42"/>
    <w:rsid w:val="004930D8"/>
    <w:rsid w:val="008B019B"/>
    <w:rsid w:val="00E1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57D35"/>
  <w15:docId w15:val="{5A6F9E14-617E-4560-AC12-5B573A4FC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dpis1">
    <w:name w:val="heading 1"/>
    <w:basedOn w:val="Normln"/>
    <w:next w:val="Normln"/>
    <w:uiPriority w:val="9"/>
    <w:qFormat/>
    <w:pPr>
      <w:keepNext/>
      <w:jc w:val="center"/>
    </w:pPr>
    <w:rPr>
      <w:b/>
      <w:bCs/>
      <w:sz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b/>
      <w:bCs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vbloku">
    <w:name w:val="Block Text"/>
    <w:basedOn w:val="Normln"/>
    <w:pPr>
      <w:ind w:left="-360" w:right="-648"/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slostrnky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styleId="Hypertextovodkaz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ZpatChar">
    <w:name w:val="Zápatí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paragraph" w:styleId="Normlnweb">
    <w:name w:val="Normal (Web)"/>
    <w:basedOn w:val="Normln"/>
    <w:qFormat/>
    <w:pPr>
      <w:spacing w:before="100" w:beforeAutospacing="1" w:after="100" w:afterAutospacing="1"/>
    </w:pPr>
  </w:style>
  <w:style w:type="character" w:styleId="Siln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xtbubliny">
    <w:name w:val="Balloon Text"/>
    <w:basedOn w:val="Normln"/>
    <w:qFormat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Nevyeenzmnk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">
    <w:name w:val="2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">
    <w:name w:val="1"/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21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xYxNvRM9KAwqSRdZZwv1bBWAiQ==">CgMxLjA4AHIhMU9hZ2pPVVFDSDFNUUR0TmpwamJWOXc3bVdJWGV4QU5J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813</Words>
  <Characters>4803</Characters>
  <Application>Microsoft Office Word</Application>
  <DocSecurity>0</DocSecurity>
  <Lines>40</Lines>
  <Paragraphs>11</Paragraphs>
  <ScaleCrop>false</ScaleCrop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M-Vision</dc:creator>
  <cp:lastModifiedBy>Strumfova Dana</cp:lastModifiedBy>
  <cp:revision>3</cp:revision>
  <dcterms:created xsi:type="dcterms:W3CDTF">2024-01-29T11:18:00Z</dcterms:created>
  <dcterms:modified xsi:type="dcterms:W3CDTF">2024-09-30T09:38:00Z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0x01010030038E9482E8F34F84F4D47E72294377</vt:lpwstr>
  </property>
  <property fmtid="{D5CDD505-2E9C-101B-9397-08002B2CF9AE}" pid="3" name="Order">
    <vt:lpwstr>947600</vt:lpwstr>
  </property>
  <property fmtid="{D5CDD505-2E9C-101B-9397-08002B2CF9AE}" pid="4" name="xd_Signature">
    <vt:lpwstr>false</vt:lpwstr>
  </property>
  <property fmtid="{D5CDD505-2E9C-101B-9397-08002B2CF9AE}" pid="5" name="xd_ProgID">
    <vt:lpwstr>xd_ProgID</vt:lpwstr>
  </property>
  <property fmtid="{D5CDD505-2E9C-101B-9397-08002B2CF9AE}" pid="6" name="TriggerFlowInfo">
    <vt:lpwstr>TriggerFlowInfo</vt:lpwstr>
  </property>
  <property fmtid="{D5CDD505-2E9C-101B-9397-08002B2CF9AE}" pid="7" name="ComplianceAssetId">
    <vt:lpwstr>ComplianceAssetId</vt:lpwstr>
  </property>
  <property fmtid="{D5CDD505-2E9C-101B-9397-08002B2CF9AE}" pid="8" name="TemplateUrl">
    <vt:lpwstr>TemplateUrl</vt:lpwstr>
  </property>
  <property fmtid="{D5CDD505-2E9C-101B-9397-08002B2CF9AE}" pid="9" name="_ExtendedDescription">
    <vt:lpwstr>_ExtendedDescription</vt:lpwstr>
  </property>
</Properties>
</file>